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C3191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bCs/>
          <w:i w:val="0"/>
          <w:iCs w:val="0"/>
          <w:caps w:val="0"/>
          <w:color w:val="333333"/>
          <w:spacing w:val="0"/>
          <w:sz w:val="24"/>
          <w:szCs w:val="24"/>
          <w:shd w:val="clear" w:fill="FFFFFF"/>
        </w:rPr>
      </w:pPr>
    </w:p>
    <w:p w14:paraId="305E507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rPr>
        <w:t>车企“60天账期”执行现状调查报告：四大问题亟待改进</w:t>
      </w:r>
    </w:p>
    <w:p w14:paraId="7961F9D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i w:val="0"/>
          <w:iCs w:val="0"/>
          <w:caps w:val="0"/>
          <w:color w:val="333333"/>
          <w:spacing w:val="0"/>
          <w:sz w:val="24"/>
          <w:szCs w:val="24"/>
          <w:shd w:val="clear" w:fill="FFFFFF"/>
        </w:rPr>
      </w:pPr>
    </w:p>
    <w:p w14:paraId="29D6D3F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drawing>
          <wp:inline distT="0" distB="0" distL="114300" distR="114300">
            <wp:extent cx="2967990" cy="6185535"/>
            <wp:effectExtent l="0" t="0" r="3810" b="5715"/>
            <wp:docPr id="4"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7"/>
                    <pic:cNvPicPr>
                      <a:picLocks noChangeAspect="1"/>
                    </pic:cNvPicPr>
                  </pic:nvPicPr>
                  <pic:blipFill>
                    <a:blip r:embed="rId4"/>
                    <a:stretch>
                      <a:fillRect/>
                    </a:stretch>
                  </pic:blipFill>
                  <pic:spPr>
                    <a:xfrm>
                      <a:off x="0" y="0"/>
                      <a:ext cx="2967990" cy="6185535"/>
                    </a:xfrm>
                    <a:prstGeom prst="rect">
                      <a:avLst/>
                    </a:prstGeom>
                    <a:noFill/>
                    <a:ln w="9525">
                      <a:noFill/>
                    </a:ln>
                  </pic:spPr>
                </pic:pic>
              </a:graphicData>
            </a:graphic>
          </wp:inline>
        </w:drawing>
      </w:r>
    </w:p>
    <w:p w14:paraId="2633100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i w:val="0"/>
          <w:iCs w:val="0"/>
          <w:caps w:val="0"/>
          <w:color w:val="333333"/>
          <w:spacing w:val="0"/>
          <w:sz w:val="24"/>
          <w:szCs w:val="24"/>
          <w:shd w:val="clear" w:fill="FFFFFF"/>
        </w:rPr>
      </w:pPr>
    </w:p>
    <w:p w14:paraId="55208FF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i w:val="0"/>
          <w:iCs w:val="0"/>
          <w:caps w:val="0"/>
          <w:color w:val="333333"/>
          <w:spacing w:val="0"/>
          <w:sz w:val="24"/>
          <w:szCs w:val="24"/>
          <w:shd w:val="clear" w:fill="FFFFFF"/>
        </w:rPr>
      </w:pPr>
      <w:r>
        <w:rPr>
          <w:rStyle w:val="5"/>
          <w:rFonts w:hint="eastAsia" w:ascii="宋体" w:hAnsi="宋体" w:eastAsia="宋体" w:cs="宋体"/>
          <w:i w:val="0"/>
          <w:iCs w:val="0"/>
          <w:caps w:val="0"/>
          <w:color w:val="333333"/>
          <w:spacing w:val="0"/>
          <w:sz w:val="24"/>
          <w:szCs w:val="24"/>
          <w:shd w:val="clear" w:fill="FFFFFF"/>
        </w:rPr>
        <w:t>前言</w:t>
      </w:r>
    </w:p>
    <w:p w14:paraId="7F5B286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i w:val="0"/>
          <w:iCs w:val="0"/>
          <w:caps w:val="0"/>
          <w:color w:val="333333"/>
          <w:spacing w:val="0"/>
          <w:sz w:val="24"/>
          <w:szCs w:val="24"/>
          <w:shd w:val="clear" w:fill="FFFFFF"/>
        </w:rPr>
      </w:pPr>
    </w:p>
    <w:p w14:paraId="1F6C1E2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2025年6月10日、11日，广汽集团、中国一汽、东风汽车、吉利、比亚迪等17家车企对供应商“60天账期”的集体承诺引起行业巨震。</w:t>
      </w:r>
    </w:p>
    <w:p w14:paraId="1019130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4D68936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国务院颁布的《保障中小企业款项支付条例》自2025年6月1日起施行，体现了对拖欠账款问题的高度重视。车企承诺“60天账期”被视为综合整治“内卷式”竞争的具体举措之一。</w:t>
      </w:r>
    </w:p>
    <w:p w14:paraId="02032F6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p>
    <w:p w14:paraId="6F6ED5F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color w:val="000000"/>
          <w:sz w:val="24"/>
          <w:szCs w:val="24"/>
        </w:rPr>
        <w:t>工业和信息化部（以下简称“工信部”）</w:t>
      </w:r>
      <w:r>
        <w:rPr>
          <w:rFonts w:hint="eastAsia" w:ascii="宋体" w:hAnsi="宋体" w:eastAsia="宋体" w:cs="宋体"/>
          <w:i w:val="0"/>
          <w:iCs w:val="0"/>
          <w:caps w:val="0"/>
          <w:color w:val="333333"/>
          <w:spacing w:val="0"/>
          <w:sz w:val="24"/>
          <w:szCs w:val="24"/>
          <w:shd w:val="clear" w:fill="FFFFFF"/>
        </w:rPr>
        <w:t>也发声表示，此举对构建“整车—零部件”协作共赢发展生态、促进产业健康可持续发展具有重要意义。7月9日，工信部上线“重点车企践行账期承诺线上问题（建议）反映窗口”，鼓励更多企业履行社会责任，推动汽车产业高质量发展。</w:t>
      </w:r>
    </w:p>
    <w:p w14:paraId="66AB373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62B1190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新京报贝壳财经因此推出《车企“60天账期”执行现状调查报告》，通过发放问卷调查、采访调研供应商、了解车企行动举措、咨询协会专家建议等多种形式，以期客观呈现目前账期执行情况。</w:t>
      </w:r>
    </w:p>
    <w:p w14:paraId="5ACED9F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163D4D8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调查报告显示，多数车企已积极采取行动，供应链企业普遍反馈收账体验有所改善。不过，执行层面存在滞后与偏差，账期兑付中主要存在四大问题，包括起算和验收时间等执行细节模糊、变相延长账期、商票仍在使用、新老合同订单账期待遇不同等。若想让账期承诺真正取得实效，仍需车企推出更富诚意、更加透明的标准化行动方案。</w:t>
      </w:r>
    </w:p>
    <w:p w14:paraId="4EB2854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5667109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一、供应商调研：账期兑付存在四大问题</w:t>
      </w:r>
    </w:p>
    <w:p w14:paraId="065F007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255EC56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为评估“账期不超60天”条款对促进产业链协同发展的初步效果，新京报贝壳财经针对汽车供应链企业账期现状展开了问卷调查。结果显示，该承诺作为稳定供应链的重要举措有了良好开端，不过实际执行效果仍有不小差距，而且50%的受访供应商担心执行持续性。</w:t>
      </w:r>
    </w:p>
    <w:p w14:paraId="3BF6E20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p>
    <w:p w14:paraId="07CC6A3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新京报贝壳财经记者采访不同细分市场的供应链企业发现，目前供应商收账进展不一，待解决的问题不少。总体来看，目前“60天账期”的履约现状存在四大问题。</w:t>
      </w:r>
    </w:p>
    <w:p w14:paraId="0E23AC6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供应商对车企执行</w:t>
      </w:r>
      <w:r>
        <w:rPr>
          <w:rStyle w:val="5"/>
          <w:rFonts w:hint="eastAsia" w:ascii="宋体" w:hAnsi="宋体" w:eastAsia="宋体" w:cs="宋体"/>
          <w:i w:val="0"/>
          <w:iCs w:val="0"/>
          <w:caps w:val="0"/>
          <w:color w:val="333333"/>
          <w:spacing w:val="0"/>
          <w:sz w:val="24"/>
          <w:szCs w:val="24"/>
          <w:shd w:val="clear" w:fill="FFFFFF"/>
          <w:lang w:eastAsia="zh-CN"/>
        </w:rPr>
        <w:t>“</w:t>
      </w:r>
      <w:r>
        <w:rPr>
          <w:rStyle w:val="5"/>
          <w:rFonts w:hint="eastAsia" w:ascii="宋体" w:hAnsi="宋体" w:eastAsia="宋体" w:cs="宋体"/>
          <w:i w:val="0"/>
          <w:iCs w:val="0"/>
          <w:caps w:val="0"/>
          <w:color w:val="333333"/>
          <w:spacing w:val="0"/>
          <w:sz w:val="24"/>
          <w:szCs w:val="24"/>
          <w:shd w:val="clear" w:fill="FFFFFF"/>
        </w:rPr>
        <w:t>60天账期</w:t>
      </w:r>
      <w:r>
        <w:rPr>
          <w:rStyle w:val="5"/>
          <w:rFonts w:hint="eastAsia" w:ascii="宋体" w:hAnsi="宋体" w:eastAsia="宋体" w:cs="宋体"/>
          <w:i w:val="0"/>
          <w:iCs w:val="0"/>
          <w:caps w:val="0"/>
          <w:color w:val="333333"/>
          <w:spacing w:val="0"/>
          <w:sz w:val="24"/>
          <w:szCs w:val="24"/>
          <w:shd w:val="clear" w:fill="FFFFFF"/>
          <w:lang w:eastAsia="zh-CN"/>
        </w:rPr>
        <w:t>”</w:t>
      </w:r>
      <w:r>
        <w:rPr>
          <w:rStyle w:val="5"/>
          <w:rFonts w:hint="eastAsia" w:ascii="宋体" w:hAnsi="宋体" w:eastAsia="宋体" w:cs="宋体"/>
          <w:i w:val="0"/>
          <w:iCs w:val="0"/>
          <w:caps w:val="0"/>
          <w:color w:val="333333"/>
          <w:spacing w:val="0"/>
          <w:sz w:val="24"/>
          <w:szCs w:val="24"/>
          <w:shd w:val="clear" w:fill="FFFFFF"/>
        </w:rPr>
        <w:t>承诺的担忧因素</w:t>
      </w:r>
    </w:p>
    <w:p w14:paraId="29AD9E8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drawing>
          <wp:inline distT="0" distB="0" distL="114300" distR="114300">
            <wp:extent cx="5147310" cy="2195195"/>
            <wp:effectExtent l="0" t="0" r="15240" b="14605"/>
            <wp:docPr id="7"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8"/>
                    <pic:cNvPicPr>
                      <a:picLocks noChangeAspect="1"/>
                    </pic:cNvPicPr>
                  </pic:nvPicPr>
                  <pic:blipFill>
                    <a:blip r:embed="rId5"/>
                    <a:stretch>
                      <a:fillRect/>
                    </a:stretch>
                  </pic:blipFill>
                  <pic:spPr>
                    <a:xfrm>
                      <a:off x="0" y="0"/>
                      <a:ext cx="5147310" cy="2195195"/>
                    </a:xfrm>
                    <a:prstGeom prst="rect">
                      <a:avLst/>
                    </a:prstGeom>
                    <a:noFill/>
                    <a:ln w="9525">
                      <a:noFill/>
                    </a:ln>
                  </pic:spPr>
                </pic:pic>
              </a:graphicData>
            </a:graphic>
          </wp:inline>
        </w:drawing>
      </w:r>
    </w:p>
    <w:p w14:paraId="614F84A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A8A8A8"/>
          <w:spacing w:val="0"/>
          <w:sz w:val="24"/>
          <w:szCs w:val="24"/>
          <w:shd w:val="clear" w:fill="FFFFFF"/>
        </w:rPr>
        <w:t>新京报贝壳财经问卷分析（此题为多选题）。问卷星图表</w:t>
      </w:r>
    </w:p>
    <w:p w14:paraId="284FA9D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6A13215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问题1：执行细节模糊</w:t>
      </w:r>
    </w:p>
    <w:p w14:paraId="535E94D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4690DAB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调查显示，对于“60天账期”政策的传达，66.67%的企业通过行业新闻获知，有16.67%的供应商是车企通过口头告知等方式进行了初步沟通。</w:t>
      </w:r>
    </w:p>
    <w:p w14:paraId="776FDC0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104970D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在付款及时性方面，供应商均反馈付款速度有积极变化，其中83.33%的企业认为“略有改善”，16.67%的企业感受到“明显加快”。对于缓解资金压力，66.67%的受访企业“稍有缓解”，33.33%的企业称有“显著降低”。</w:t>
      </w:r>
    </w:p>
    <w:p w14:paraId="7C78461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p>
    <w:p w14:paraId="634C32B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b/>
          <w:bCs w:val="0"/>
          <w:i w:val="0"/>
          <w:iCs w:val="0"/>
          <w:caps w:val="0"/>
          <w:color w:val="333333"/>
          <w:spacing w:val="0"/>
          <w:sz w:val="24"/>
          <w:szCs w:val="24"/>
          <w:shd w:val="clear" w:fill="FFFFFF"/>
        </w:rPr>
      </w:pPr>
    </w:p>
    <w:p w14:paraId="07F1AD2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b/>
          <w:bCs w:val="0"/>
          <w:i w:val="0"/>
          <w:iCs w:val="0"/>
          <w:caps w:val="0"/>
          <w:color w:val="333333"/>
          <w:spacing w:val="0"/>
          <w:sz w:val="24"/>
          <w:szCs w:val="24"/>
          <w:shd w:val="clear" w:fill="FFFFFF"/>
        </w:rPr>
      </w:pPr>
    </w:p>
    <w:p w14:paraId="1D61BA3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b/>
          <w:bCs w:val="0"/>
          <w:i w:val="0"/>
          <w:iCs w:val="0"/>
          <w:caps w:val="0"/>
          <w:color w:val="333333"/>
          <w:spacing w:val="0"/>
          <w:sz w:val="24"/>
          <w:szCs w:val="24"/>
          <w:shd w:val="clear" w:fill="FFFFFF"/>
        </w:rPr>
      </w:pPr>
    </w:p>
    <w:p w14:paraId="15990E3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b/>
          <w:bCs w:val="0"/>
          <w:i w:val="0"/>
          <w:iCs w:val="0"/>
          <w:caps w:val="0"/>
          <w:color w:val="333333"/>
          <w:spacing w:val="0"/>
          <w:sz w:val="24"/>
          <w:szCs w:val="24"/>
          <w:shd w:val="clear" w:fill="FFFFFF"/>
        </w:rPr>
      </w:pPr>
    </w:p>
    <w:p w14:paraId="7B5A60F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b/>
          <w:bCs w:val="0"/>
          <w:i w:val="0"/>
          <w:iCs w:val="0"/>
          <w:caps w:val="0"/>
          <w:color w:val="333333"/>
          <w:spacing w:val="0"/>
          <w:sz w:val="24"/>
          <w:szCs w:val="24"/>
          <w:shd w:val="clear" w:fill="FFFFFF"/>
        </w:rPr>
      </w:pPr>
    </w:p>
    <w:p w14:paraId="15A727C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b/>
          <w:bCs w:val="0"/>
          <w:i w:val="0"/>
          <w:iCs w:val="0"/>
          <w:caps w:val="0"/>
          <w:color w:val="333333"/>
          <w:spacing w:val="0"/>
          <w:sz w:val="24"/>
          <w:szCs w:val="24"/>
          <w:shd w:val="clear" w:fill="FFFFFF"/>
        </w:rPr>
      </w:pPr>
    </w:p>
    <w:p w14:paraId="1A11292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bCs w:val="0"/>
          <w:color w:val="333333"/>
          <w:spacing w:val="0"/>
          <w:sz w:val="24"/>
          <w:szCs w:val="24"/>
        </w:rPr>
      </w:pPr>
      <w:r>
        <w:rPr>
          <w:rStyle w:val="5"/>
          <w:rFonts w:hint="eastAsia" w:ascii="宋体" w:hAnsi="宋体" w:eastAsia="宋体" w:cs="宋体"/>
          <w:b/>
          <w:bCs w:val="0"/>
          <w:i w:val="0"/>
          <w:iCs w:val="0"/>
          <w:caps w:val="0"/>
          <w:color w:val="333333"/>
          <w:spacing w:val="0"/>
          <w:sz w:val="24"/>
          <w:szCs w:val="24"/>
          <w:shd w:val="clear" w:fill="FFFFFF"/>
        </w:rPr>
        <w:t>供应商反映的车企付款及时性变化</w:t>
      </w:r>
    </w:p>
    <w:p w14:paraId="7BA1B56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drawing>
          <wp:inline distT="0" distB="0" distL="114300" distR="114300">
            <wp:extent cx="4785360" cy="3343910"/>
            <wp:effectExtent l="0" t="0" r="15240" b="8890"/>
            <wp:docPr id="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9"/>
                    <pic:cNvPicPr>
                      <a:picLocks noChangeAspect="1"/>
                    </pic:cNvPicPr>
                  </pic:nvPicPr>
                  <pic:blipFill>
                    <a:blip r:embed="rId6"/>
                    <a:stretch>
                      <a:fillRect/>
                    </a:stretch>
                  </pic:blipFill>
                  <pic:spPr>
                    <a:xfrm>
                      <a:off x="0" y="0"/>
                      <a:ext cx="4785360" cy="3343910"/>
                    </a:xfrm>
                    <a:prstGeom prst="rect">
                      <a:avLst/>
                    </a:prstGeom>
                    <a:noFill/>
                    <a:ln w="9525">
                      <a:noFill/>
                    </a:ln>
                  </pic:spPr>
                </pic:pic>
              </a:graphicData>
            </a:graphic>
          </wp:inline>
        </w:drawing>
      </w:r>
    </w:p>
    <w:p w14:paraId="52FC832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A8A8A8"/>
          <w:spacing w:val="0"/>
          <w:sz w:val="24"/>
          <w:szCs w:val="24"/>
          <w:shd w:val="clear" w:fill="FFFFFF"/>
        </w:rPr>
        <w:t>新京报贝壳财经问卷分析。问卷星图表</w:t>
      </w:r>
    </w:p>
    <w:p w14:paraId="1A586E1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4C1FCE2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不过，执行细节模糊引起的潜在担忧依然存在。其中，“60天账期”的起算点尚未明确，究竟是从交货、验收，还是从开票之日起算，目前不同车企执行标准不一。</w:t>
      </w:r>
    </w:p>
    <w:p w14:paraId="17B94E8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746ED32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调查问卷显示，分别有33.33%、33.33%、16.67%和16.67%的供应商反映车企以“完成验收的日期”“发票开具日期”“订单确认日期”“货物交付至车企仓库日期”为起算点。这种起算点的模糊和不统一，本身就可能成为变相延长账期的因素。</w:t>
      </w:r>
    </w:p>
    <w:p w14:paraId="7230A97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2E4268A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i w:val="0"/>
          <w:iCs w:val="0"/>
          <w:caps w:val="0"/>
          <w:color w:val="333333"/>
          <w:spacing w:val="0"/>
          <w:sz w:val="24"/>
          <w:szCs w:val="24"/>
          <w:shd w:val="clear" w:fill="FFFFFF"/>
        </w:rPr>
      </w:pPr>
    </w:p>
    <w:p w14:paraId="56DC30E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i w:val="0"/>
          <w:iCs w:val="0"/>
          <w:caps w:val="0"/>
          <w:color w:val="333333"/>
          <w:spacing w:val="0"/>
          <w:sz w:val="24"/>
          <w:szCs w:val="24"/>
          <w:shd w:val="clear" w:fill="FFFFFF"/>
        </w:rPr>
      </w:pPr>
    </w:p>
    <w:p w14:paraId="56055EA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i w:val="0"/>
          <w:iCs w:val="0"/>
          <w:caps w:val="0"/>
          <w:color w:val="333333"/>
          <w:spacing w:val="0"/>
          <w:sz w:val="24"/>
          <w:szCs w:val="24"/>
          <w:shd w:val="clear" w:fill="FFFFFF"/>
        </w:rPr>
      </w:pPr>
    </w:p>
    <w:p w14:paraId="64C9F50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i w:val="0"/>
          <w:iCs w:val="0"/>
          <w:caps w:val="0"/>
          <w:color w:val="333333"/>
          <w:spacing w:val="0"/>
          <w:sz w:val="24"/>
          <w:szCs w:val="24"/>
          <w:shd w:val="clear" w:fill="FFFFFF"/>
        </w:rPr>
      </w:pPr>
    </w:p>
    <w:p w14:paraId="022F6C1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i w:val="0"/>
          <w:iCs w:val="0"/>
          <w:caps w:val="0"/>
          <w:color w:val="333333"/>
          <w:spacing w:val="0"/>
          <w:sz w:val="24"/>
          <w:szCs w:val="24"/>
          <w:shd w:val="clear" w:fill="FFFFFF"/>
        </w:rPr>
      </w:pPr>
    </w:p>
    <w:p w14:paraId="396E7AB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i w:val="0"/>
          <w:iCs w:val="0"/>
          <w:caps w:val="0"/>
          <w:color w:val="333333"/>
          <w:spacing w:val="0"/>
          <w:sz w:val="24"/>
          <w:szCs w:val="24"/>
          <w:shd w:val="clear" w:fill="FFFFFF"/>
        </w:rPr>
      </w:pPr>
    </w:p>
    <w:p w14:paraId="691BEA6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5"/>
          <w:rFonts w:hint="eastAsia" w:ascii="宋体" w:hAnsi="宋体" w:eastAsia="宋体" w:cs="宋体"/>
          <w:i w:val="0"/>
          <w:iCs w:val="0"/>
          <w:caps w:val="0"/>
          <w:color w:val="333333"/>
          <w:spacing w:val="0"/>
          <w:sz w:val="24"/>
          <w:szCs w:val="24"/>
          <w:shd w:val="clear" w:fill="FFFFFF"/>
        </w:rPr>
      </w:pPr>
    </w:p>
    <w:p w14:paraId="002E2DD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供应商反映的车企付款期限起算时间</w:t>
      </w:r>
    </w:p>
    <w:p w14:paraId="445ADD3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drawing>
          <wp:inline distT="0" distB="0" distL="114300" distR="114300">
            <wp:extent cx="5271135" cy="2290445"/>
            <wp:effectExtent l="0" t="0" r="5715" b="5080"/>
            <wp:docPr id="2"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IMG_260"/>
                    <pic:cNvPicPr>
                      <a:picLocks noChangeAspect="1"/>
                    </pic:cNvPicPr>
                  </pic:nvPicPr>
                  <pic:blipFill>
                    <a:blip r:embed="rId7"/>
                    <a:stretch>
                      <a:fillRect/>
                    </a:stretch>
                  </pic:blipFill>
                  <pic:spPr>
                    <a:xfrm>
                      <a:off x="0" y="0"/>
                      <a:ext cx="5271135" cy="2290445"/>
                    </a:xfrm>
                    <a:prstGeom prst="rect">
                      <a:avLst/>
                    </a:prstGeom>
                    <a:noFill/>
                    <a:ln w="9525">
                      <a:noFill/>
                    </a:ln>
                  </pic:spPr>
                </pic:pic>
              </a:graphicData>
            </a:graphic>
          </wp:inline>
        </w:drawing>
      </w:r>
    </w:p>
    <w:p w14:paraId="59AAF10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A8A8A8"/>
          <w:spacing w:val="0"/>
          <w:sz w:val="24"/>
          <w:szCs w:val="24"/>
          <w:shd w:val="clear" w:fill="FFFFFF"/>
        </w:rPr>
        <w:t>新京报贝壳财经问卷分析。问卷星图表</w:t>
      </w:r>
    </w:p>
    <w:p w14:paraId="0B3D800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0152163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在供应链企业的从业者看来，现在是“摸着石头过河”阶段，政策的具体规则尚待明确。比如，“60天账期”会不会涉及一些前提条件——没有任何质量问题、没有任何合同纠纷、不牵扯其他项目等；不同级别供应商的账期兑现是否有不同的策略等。</w:t>
      </w:r>
    </w:p>
    <w:p w14:paraId="5560799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69F8AE2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问题2：担忧变相延长账期</w:t>
      </w:r>
    </w:p>
    <w:p w14:paraId="4F245C5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7BEF728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对于执行的持续性，调查显示供应商信心略有不足：50%的企业认为“短期可行”，33.33%表示“存疑”，16.67%认为“大概率难持续”。他们最大的担忧集中于“执行不到位”，担心“60天账期”在实际操作中被各种手段拖延。</w:t>
      </w:r>
    </w:p>
    <w:p w14:paraId="09BD03B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p>
    <w:p w14:paraId="4D16BDD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p>
    <w:p w14:paraId="642C0B3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p>
    <w:p w14:paraId="013556E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p>
    <w:p w14:paraId="49DF49C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p>
    <w:p w14:paraId="742C374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p>
    <w:p w14:paraId="274AB3D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Style w:val="5"/>
          <w:rFonts w:hint="eastAsia" w:ascii="宋体" w:hAnsi="宋体" w:eastAsia="宋体" w:cs="宋体"/>
          <w:i w:val="0"/>
          <w:iCs w:val="0"/>
          <w:caps w:val="0"/>
          <w:color w:val="333333"/>
          <w:spacing w:val="0"/>
          <w:sz w:val="24"/>
          <w:szCs w:val="24"/>
          <w:shd w:val="clear" w:fill="FFFFFF"/>
        </w:rPr>
      </w:pPr>
    </w:p>
    <w:p w14:paraId="342F982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供应商对</w:t>
      </w:r>
      <w:r>
        <w:rPr>
          <w:rStyle w:val="5"/>
          <w:rFonts w:hint="eastAsia" w:ascii="宋体" w:hAnsi="宋体" w:eastAsia="宋体" w:cs="宋体"/>
          <w:i w:val="0"/>
          <w:iCs w:val="0"/>
          <w:caps w:val="0"/>
          <w:color w:val="333333"/>
          <w:spacing w:val="0"/>
          <w:sz w:val="24"/>
          <w:szCs w:val="24"/>
          <w:shd w:val="clear" w:fill="FFFFFF"/>
          <w:lang w:eastAsia="zh-CN"/>
        </w:rPr>
        <w:t>“</w:t>
      </w:r>
      <w:r>
        <w:rPr>
          <w:rStyle w:val="5"/>
          <w:rFonts w:hint="eastAsia" w:ascii="宋体" w:hAnsi="宋体" w:eastAsia="宋体" w:cs="宋体"/>
          <w:i w:val="0"/>
          <w:iCs w:val="0"/>
          <w:caps w:val="0"/>
          <w:color w:val="333333"/>
          <w:spacing w:val="0"/>
          <w:sz w:val="24"/>
          <w:szCs w:val="24"/>
          <w:shd w:val="clear" w:fill="FFFFFF"/>
        </w:rPr>
        <w:t>60天账期</w:t>
      </w:r>
      <w:r>
        <w:rPr>
          <w:rStyle w:val="5"/>
          <w:rFonts w:hint="eastAsia" w:ascii="宋体" w:hAnsi="宋体" w:eastAsia="宋体" w:cs="宋体"/>
          <w:i w:val="0"/>
          <w:iCs w:val="0"/>
          <w:caps w:val="0"/>
          <w:color w:val="333333"/>
          <w:spacing w:val="0"/>
          <w:sz w:val="24"/>
          <w:szCs w:val="24"/>
          <w:shd w:val="clear" w:fill="FFFFFF"/>
          <w:lang w:eastAsia="zh-CN"/>
        </w:rPr>
        <w:t>”</w:t>
      </w:r>
      <w:r>
        <w:rPr>
          <w:rStyle w:val="5"/>
          <w:rFonts w:hint="eastAsia" w:ascii="宋体" w:hAnsi="宋体" w:eastAsia="宋体" w:cs="宋体"/>
          <w:i w:val="0"/>
          <w:iCs w:val="0"/>
          <w:caps w:val="0"/>
          <w:color w:val="333333"/>
          <w:spacing w:val="0"/>
          <w:sz w:val="24"/>
          <w:szCs w:val="24"/>
          <w:shd w:val="clear" w:fill="FFFFFF"/>
        </w:rPr>
        <w:t>承诺持续性的预期</w:t>
      </w:r>
    </w:p>
    <w:p w14:paraId="7A9EC3B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drawing>
          <wp:inline distT="0" distB="0" distL="114300" distR="114300">
            <wp:extent cx="5084445" cy="3343275"/>
            <wp:effectExtent l="0" t="0" r="1905" b="9525"/>
            <wp:docPr id="3"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IMG_261"/>
                    <pic:cNvPicPr>
                      <a:picLocks noChangeAspect="1"/>
                    </pic:cNvPicPr>
                  </pic:nvPicPr>
                  <pic:blipFill>
                    <a:blip r:embed="rId8"/>
                    <a:stretch>
                      <a:fillRect/>
                    </a:stretch>
                  </pic:blipFill>
                  <pic:spPr>
                    <a:xfrm>
                      <a:off x="0" y="0"/>
                      <a:ext cx="5084445" cy="3343275"/>
                    </a:xfrm>
                    <a:prstGeom prst="rect">
                      <a:avLst/>
                    </a:prstGeom>
                    <a:noFill/>
                    <a:ln w="9525">
                      <a:noFill/>
                    </a:ln>
                  </pic:spPr>
                </pic:pic>
              </a:graphicData>
            </a:graphic>
          </wp:inline>
        </w:drawing>
      </w:r>
    </w:p>
    <w:p w14:paraId="31666258">
      <w:pPr>
        <w:keepNext w:val="0"/>
        <w:keepLines w:val="0"/>
        <w:pageBreakBefore w:val="0"/>
        <w:widowControl/>
        <w:suppressLineNumbers w:val="0"/>
        <w:shd w:val="clear" w:fill="FFFFFF"/>
        <w:kinsoku/>
        <w:wordWrap/>
        <w:overflowPunct/>
        <w:topLinePunct w:val="0"/>
        <w:autoSpaceDE/>
        <w:autoSpaceDN/>
        <w:bidi w:val="0"/>
        <w:adjustRightInd/>
        <w:snapToGrid/>
        <w:spacing w:line="360" w:lineRule="auto"/>
        <w:ind w:left="0" w:firstLine="0"/>
        <w:jc w:val="both"/>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A8A8A8"/>
          <w:spacing w:val="0"/>
          <w:kern w:val="0"/>
          <w:sz w:val="24"/>
          <w:szCs w:val="24"/>
          <w:shd w:val="clear" w:fill="FFFFFF"/>
          <w:lang w:val="en-US" w:eastAsia="zh-CN" w:bidi="ar"/>
        </w:rPr>
        <w:t>新京报贝壳财经问卷分析。问卷星图表</w:t>
      </w:r>
    </w:p>
    <w:p w14:paraId="003B5C6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654AFFA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上海一家供应商负责人赵峰（化名）称，“60天账期”的执行与项目完成后车企的验收确认密切相关，“验收时间的不确定，往往会导致回款时间难以保证。”</w:t>
      </w:r>
    </w:p>
    <w:p w14:paraId="221A118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5541227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一家新能源核心零部件企业市场总监吴涛（化名）坦言，担心出现“上有政策，下有对策”的情况——例如车企在验收等环节刻意拖延，变相延长账期，或在付款方式上不如预期。</w:t>
      </w:r>
    </w:p>
    <w:p w14:paraId="6400CB4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54E1A69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问题3：商票仍在使用</w:t>
      </w:r>
    </w:p>
    <w:p w14:paraId="655455F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2B4CB7C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在轮毂企业工作的周远（化名）也感受到目前车企账期的变化，他坦言此前自主品牌账期多是“90天+180天银行承兑或商业承兑票据”，监管加强后，车企在落实上仍有所不同，“要仔细看采购合同差异，国企会相对好些。”</w:t>
      </w:r>
    </w:p>
    <w:p w14:paraId="1D1FB6C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4C0F162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车企支付方式繁多也是供应商的一大痛点，尤其是商业承兑汇票⁽¹⁾的使用。调查问卷显示，在支付方式上，商票并未被完全取消，66.67%的供应商表示商票的使用“减少但存在”。 </w:t>
      </w:r>
    </w:p>
    <w:p w14:paraId="1C5F0BC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供应商反映的商票使用情况</w:t>
      </w:r>
    </w:p>
    <w:p w14:paraId="6A247B2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drawing>
          <wp:inline distT="0" distB="0" distL="114300" distR="114300">
            <wp:extent cx="5271135" cy="3157855"/>
            <wp:effectExtent l="0" t="0" r="5715" b="4445"/>
            <wp:docPr id="6"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IMG_262"/>
                    <pic:cNvPicPr>
                      <a:picLocks noChangeAspect="1"/>
                    </pic:cNvPicPr>
                  </pic:nvPicPr>
                  <pic:blipFill>
                    <a:blip r:embed="rId9"/>
                    <a:stretch>
                      <a:fillRect/>
                    </a:stretch>
                  </pic:blipFill>
                  <pic:spPr>
                    <a:xfrm>
                      <a:off x="0" y="0"/>
                      <a:ext cx="5271135" cy="3157855"/>
                    </a:xfrm>
                    <a:prstGeom prst="rect">
                      <a:avLst/>
                    </a:prstGeom>
                    <a:noFill/>
                    <a:ln w="9525">
                      <a:noFill/>
                    </a:ln>
                  </pic:spPr>
                </pic:pic>
              </a:graphicData>
            </a:graphic>
          </wp:inline>
        </w:drawing>
      </w:r>
    </w:p>
    <w:p w14:paraId="1953586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A8A8A8"/>
          <w:spacing w:val="0"/>
          <w:sz w:val="24"/>
          <w:szCs w:val="24"/>
          <w:shd w:val="clear" w:fill="FFFFFF"/>
        </w:rPr>
        <w:t>新京报贝壳财经问卷分析。问卷星图表</w:t>
      </w:r>
    </w:p>
    <w:p w14:paraId="09F62D6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2FBE5FD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问题4：新老订单待遇不同</w:t>
      </w:r>
    </w:p>
    <w:p w14:paraId="5254EE5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0F1C1F5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“最新的回款账期是验收开票后60天。”韩东（化名）是湖南一家供应商的负责人，他所在的企业近日与一家新势力车企签署的合同就落实了“60天账期”承诺，直接付现款。</w:t>
      </w:r>
    </w:p>
    <w:p w14:paraId="5BE0EB7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07B0934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不过，即便是与同一家车企合作，执行合同的时间也会导致供应商账款回款周期不同。与该新势力车企合作的另一家供应商负责人马先生坦言，因双方所签合同并非今年开始执行，目前回款账期早已超过60天。“对方称只有新签的合同才是60天账期。”</w:t>
      </w:r>
    </w:p>
    <w:p w14:paraId="40CAABE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0BB0A40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吴涛（化名）坦言，账期调整会涉及很多问题，例如与车企重新签署或调整协议，这需要一定的时间。</w:t>
      </w:r>
    </w:p>
    <w:p w14:paraId="01E816C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29E5F62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二、车企在行动</w:t>
      </w:r>
    </w:p>
    <w:p w14:paraId="589503A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4F3765A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在集中表态后，车企进一步落地推进“60天账期”承诺，多家公布了相关的举措。</w:t>
      </w:r>
    </w:p>
    <w:p w14:paraId="4E11673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3BD813A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缩短周转天数</w:t>
      </w:r>
    </w:p>
    <w:p w14:paraId="27F3CE9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74C4701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长安汽车在2025年半年报中提到，公司落实国家部委要求，将供应商支付账期统一至60天内，保障中小企业资金高效流转，助力产业链良好协同运行。2025年6月末，长安汽车应付账款和应付票据余额合计较年初降低约31%；2025年1-6月应付账款及应付票据周转天数⁽²⁾较2024年减少50天。</w:t>
      </w:r>
    </w:p>
    <w:p w14:paraId="1693E9F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5AE090D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奇瑞汽车董事长尹同跃表示，奇瑞通过“四大组合拳”将供应商平均支付账期压缩至47天——以账期规范化将“≤60天账期”固化为统一硬性规定；以执行全链化推进各部门高效协同，畅通全链条审核体系；以审批数字化实现全流程在线化操作；以预付款机制化对中小企业提前支付一定比例的预付款，破解前期生产启动资金不足问题。</w:t>
      </w:r>
    </w:p>
    <w:p w14:paraId="756A6E4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3A3BBFE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调整结算策略</w:t>
      </w:r>
    </w:p>
    <w:p w14:paraId="38EECCC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462E738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中国一汽组建跨部门专项工作组，从今年6月起对中小企业供应商全部执行100%现金支付，改变此前“现金+银行承兑汇票”的混合支付模式，目前已完成2000余家中小企业的资质审核。</w:t>
      </w:r>
    </w:p>
    <w:p w14:paraId="3B06072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4BCEBE7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广汽集团一直坚持“60天内支付供应商货款”，构建了覆盖从订单下发到货款支付的全流程管控体系，现金结算比例达95%。</w:t>
      </w:r>
    </w:p>
    <w:p w14:paraId="5BBBA94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4C024C2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赛力斯则首创“厂中厂”模式，将合作伙伴的产线集聚到赛力斯超级工厂中，“嵌入式”布局减少了中间流程，降低运输费用，缩短结算周期。</w:t>
      </w:r>
    </w:p>
    <w:p w14:paraId="0C4D34A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3D3FAA6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对于“60天账期”，中国汽车工业协会在今年8月初介绍，目前一汽、东风、长安等主要央企，广汽、上汽、北汽等主要国企，还有吉利、长城等民营企业，以及赛力斯、理想、小鹏等新势力企业都在积极响应。“在调整账期的过程中，车企的资金需要去筹备，验收、上线、付款等相关的流程，还有相关供销合同都需要调整。大量的企业首先在新订单上落实60天付款，一些老订单会逐渐去解决。”</w:t>
      </w:r>
    </w:p>
    <w:p w14:paraId="4A3C52F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64CBB67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三、解决路径探讨</w:t>
      </w:r>
    </w:p>
    <w:p w14:paraId="3656908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0A39C16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供应链被认为是汽车产业的“筋骨血脉”，是汽车产业发展以及转型升级的关键一环。车企承诺“60天账期”，是响应政策、抵制“内卷式”竞争的重要举措，有利于汽车产业的健康可持续发展。</w:t>
      </w:r>
    </w:p>
    <w:p w14:paraId="3FF9F68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6C2BD53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对此，汽车行业专家和供应链企业提出了相应的建议。同时，政府监管层面持续推动“60天账期”具体落地，促进汽车行业高质量发展。</w:t>
      </w:r>
    </w:p>
    <w:p w14:paraId="1BA5EEE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2A9CA18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1. 如何解决执行中的“卡点”？</w:t>
      </w:r>
    </w:p>
    <w:p w14:paraId="7D20B1F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3E7EF4B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在中国汽车流通协会专家委员会委员章弘看来，车企需要明确账期的计算方式和支付方式，确保实际操作与承诺一致。同时，通过行业协会干预，减少不必要的价格战，确保资金周转顺畅，促进产业链健康可持续发展。</w:t>
      </w:r>
    </w:p>
    <w:p w14:paraId="50BCF18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57D88F7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汽车行业资深分析师颜景辉认为，对车企而言，一是要严格按照“60天账期”的要求去做。二是进一步调整自身生产管理、资金管理能力，并且放低身段，改变强势态度。</w:t>
      </w:r>
    </w:p>
    <w:p w14:paraId="07E4D3C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1A48C17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2. 如何进行配套制度建设？</w:t>
      </w:r>
    </w:p>
    <w:p w14:paraId="29D1E8E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07997E1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章弘表示，行业应建立有效的监督机制，增强行业自律，确保车企能遵守60天的付款周期承诺。</w:t>
      </w:r>
    </w:p>
    <w:p w14:paraId="09200F3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7DF96A4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颜景辉认为，“60天账期”在执行中能否切实落地，首先是政府监管部门、行业协会共同监督，企业自律规范；其次需要进行相关产业链规范健康的体系化建设。</w:t>
      </w:r>
    </w:p>
    <w:p w14:paraId="0309DE2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171252C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京西智行全球首席执行官刘喜合表示，在这一变革过程中，需要主机厂和供应商共同应对挑战。缩短付款周期可能会给主机厂资金流动性带来一定压力，这就倒逼其优化自身资金管理、提升运营效率，通过精细化管理降低成本，避免将压力再次转嫁到供应链上。</w:t>
      </w:r>
    </w:p>
    <w:p w14:paraId="3BE2CB9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17CDA9C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3. 车企和供应商如何形成良性循环？</w:t>
      </w:r>
    </w:p>
    <w:p w14:paraId="70EA7B8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3C6B406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章弘指出，整车企业的需求决定了零部件企业的产品研发方向，而零部件企业对整车企业有支撑作用，零部件质量直接影响整车的性能和质量，零部件企业的创新能力也为整车企业带来新机遇。</w:t>
      </w:r>
    </w:p>
    <w:p w14:paraId="37B0379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400F79E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他进一步建议，双方可通过建立紧密合作关系促进良性发展，同时建立公平合理的利润分配机制。此外，开展深度合作，共同投入资源进行新技术、新产品的研发；通过构建产业联盟或创新平台，整合资源共同攻克汽车关键技术难题。</w:t>
      </w:r>
    </w:p>
    <w:p w14:paraId="3C60824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1B190A8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4. 监管持续推进“60天账期”落地</w:t>
      </w:r>
    </w:p>
    <w:p w14:paraId="422B0BD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4725E82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7月9日，工信部上线“重点车企践行账期承诺线上问题（建议）反映窗口”。该窗口主要受理4类问题和建议：一是重点车企未践行60天支付期限承诺，在采购合同中约定的付款期限超过60天；二是重点车企设定不合理的支付期限起算时间、无正当理由拖延出具检验或验收合格证明等方式变相延长支付期限，以及以收到第三方货款作为支付条件或按照第三方支付比例支付款项；三是重点车企强制或变相强制中小企业接受商业汇票、应收账款电子凭证等非现金支付方式；四是重点车企落实《保障中小企业款项支付条例》不力的其他问题。</w:t>
      </w:r>
    </w:p>
    <w:p w14:paraId="24BC7FB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i w:val="0"/>
          <w:iCs w:val="0"/>
          <w:caps w:val="0"/>
          <w:color w:val="333333"/>
          <w:spacing w:val="0"/>
          <w:sz w:val="24"/>
          <w:szCs w:val="24"/>
          <w:shd w:val="clear" w:fill="FFFFFF"/>
        </w:rPr>
      </w:pPr>
    </w:p>
    <w:p w14:paraId="1747274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7月18日，</w:t>
      </w:r>
      <w:r>
        <w:rPr>
          <w:rFonts w:hint="eastAsia" w:ascii="宋体" w:hAnsi="宋体" w:eastAsia="宋体" w:cs="宋体"/>
          <w:color w:val="000000"/>
          <w:sz w:val="24"/>
          <w:szCs w:val="24"/>
        </w:rPr>
        <w:t>工信部、国家发展和改革委员会、国家市场监督管理总局</w:t>
      </w:r>
      <w:r>
        <w:rPr>
          <w:rFonts w:hint="eastAsia" w:ascii="宋体" w:hAnsi="宋体" w:eastAsia="宋体" w:cs="宋体"/>
          <w:i w:val="0"/>
          <w:iCs w:val="0"/>
          <w:caps w:val="0"/>
          <w:color w:val="333333"/>
          <w:spacing w:val="0"/>
          <w:sz w:val="24"/>
          <w:szCs w:val="24"/>
          <w:shd w:val="clear" w:fill="FFFFFF"/>
        </w:rPr>
        <w:t>联合部署进一步规范新能源汽车</w:t>
      </w:r>
      <w:bookmarkStart w:id="0" w:name="_GoBack"/>
      <w:bookmarkEnd w:id="0"/>
      <w:r>
        <w:rPr>
          <w:rFonts w:hint="eastAsia" w:ascii="宋体" w:hAnsi="宋体" w:eastAsia="宋体" w:cs="宋体"/>
          <w:i w:val="0"/>
          <w:iCs w:val="0"/>
          <w:caps w:val="0"/>
          <w:color w:val="333333"/>
          <w:spacing w:val="0"/>
          <w:sz w:val="24"/>
          <w:szCs w:val="24"/>
          <w:shd w:val="clear" w:fill="FFFFFF"/>
        </w:rPr>
        <w:t>产业竞争秩序工作，再次提到深入推进缩短供应商货款账期等工作。</w:t>
      </w:r>
    </w:p>
    <w:p w14:paraId="1991D0E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043681A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8月，工信部调研中国一汽、广汽集团、赛力斯、奇瑞汽车等多家车企。</w:t>
      </w:r>
    </w:p>
    <w:p w14:paraId="3782D85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37A1AEE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工信部表示，下一步将指导行业机构研究制定汽车行业结算支付规范，推行合同范本，进一步规范汽车企业供应商货款支付流程，推动构建“整车—零部件”协作共赢发展生态，促进汽车产业健康可持续发展。</w:t>
      </w:r>
    </w:p>
    <w:p w14:paraId="30E3DAE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6DF6B38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333333"/>
          <w:spacing w:val="0"/>
          <w:sz w:val="24"/>
          <w:szCs w:val="24"/>
        </w:rPr>
      </w:pPr>
      <w:r>
        <w:rPr>
          <w:rStyle w:val="5"/>
          <w:rFonts w:hint="eastAsia" w:ascii="宋体" w:hAnsi="宋体" w:eastAsia="宋体" w:cs="宋体"/>
          <w:i w:val="0"/>
          <w:iCs w:val="0"/>
          <w:caps w:val="0"/>
          <w:color w:val="333333"/>
          <w:spacing w:val="0"/>
          <w:sz w:val="24"/>
          <w:szCs w:val="24"/>
          <w:shd w:val="clear" w:fill="FFFFFF"/>
        </w:rPr>
        <w:t>结语</w:t>
      </w:r>
    </w:p>
    <w:p w14:paraId="36BB871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3259D41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本报告多维度呈现了目前“60天账期”的执行情况，该承诺能有效稳定供应链，是反“内卷”的体现。</w:t>
      </w:r>
    </w:p>
    <w:p w14:paraId="0B326B4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0DDDADD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虽然供应商反馈目前“60天账期”履约仍存在一些问题，但车企已经在行动，调整对供应商的策略。中国汽车工业协会专务副秘书长许海东表示，央国企以及一些大型汽车企业发挥社会责任作用，努力实现“60天账期”的要求。他进一步建议，车企收到零部件之后，牵涉到验收、装机等一系列过程，应该通过合同进行相应约定，对相关流程也做出清晰约定，由此保证在60天内完成付款，为供应商提供一个更好的生存环境。</w:t>
      </w:r>
    </w:p>
    <w:p w14:paraId="3C57A7E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 </w:t>
      </w:r>
    </w:p>
    <w:p w14:paraId="73DA409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“60天账期”的调整过程需要一定的时间，随着监管层面介入、车企执行策略优化等，供应链账期有望迎来根本性改善，长远来看有利于进一步缓解“整零矛盾”，促进汽车行业高质量发展。</w:t>
      </w:r>
    </w:p>
    <w:p w14:paraId="372A385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999999"/>
          <w:spacing w:val="2"/>
          <w:sz w:val="24"/>
          <w:szCs w:val="24"/>
        </w:rPr>
      </w:pPr>
      <w:r>
        <w:rPr>
          <w:rFonts w:hint="eastAsia" w:ascii="宋体" w:hAnsi="宋体" w:eastAsia="宋体" w:cs="宋体"/>
          <w:i w:val="0"/>
          <w:iCs w:val="0"/>
          <w:caps w:val="0"/>
          <w:color w:val="999999"/>
          <w:spacing w:val="2"/>
          <w:sz w:val="24"/>
          <w:szCs w:val="24"/>
          <w:shd w:val="clear" w:fill="FFFFFF"/>
        </w:rPr>
        <w:t>注：</w:t>
      </w:r>
    </w:p>
    <w:p w14:paraId="0EF93AC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999999"/>
          <w:spacing w:val="2"/>
          <w:sz w:val="24"/>
          <w:szCs w:val="24"/>
        </w:rPr>
      </w:pPr>
      <w:r>
        <w:rPr>
          <w:rFonts w:hint="eastAsia" w:ascii="宋体" w:hAnsi="宋体" w:eastAsia="宋体" w:cs="宋体"/>
          <w:i w:val="0"/>
          <w:iCs w:val="0"/>
          <w:caps w:val="0"/>
          <w:color w:val="999999"/>
          <w:spacing w:val="2"/>
          <w:sz w:val="24"/>
          <w:szCs w:val="24"/>
          <w:shd w:val="clear" w:fill="FFFFFF"/>
        </w:rPr>
        <w:t>（1）商业承兑汇票：是商业汇票的一种。是指收款人开出经付款人承兑，或由付款人开出并承兑的汇票。</w:t>
      </w:r>
    </w:p>
    <w:p w14:paraId="21A4BBD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999999"/>
          <w:spacing w:val="2"/>
          <w:sz w:val="24"/>
          <w:szCs w:val="24"/>
        </w:rPr>
      </w:pPr>
      <w:r>
        <w:rPr>
          <w:rFonts w:hint="eastAsia" w:ascii="宋体" w:hAnsi="宋体" w:eastAsia="宋体" w:cs="宋体"/>
          <w:i w:val="0"/>
          <w:iCs w:val="0"/>
          <w:caps w:val="0"/>
          <w:color w:val="999999"/>
          <w:spacing w:val="2"/>
          <w:sz w:val="24"/>
          <w:szCs w:val="24"/>
          <w:shd w:val="clear" w:fill="FFFFFF"/>
        </w:rPr>
        <w:t>（2）应付账款及应付票据周转天数：应付账款周转天数又称平均付现期，并不完全等同于车企给供应商的付款周期，是衡量公司需要多长时间付清供应商欠款的一个指标。</w:t>
      </w:r>
    </w:p>
    <w:p w14:paraId="6EBCCDF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p>
    <w:p w14:paraId="3B46158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出品 新京报贝壳财经智能制造报道部</w:t>
      </w:r>
    </w:p>
    <w:p w14:paraId="120F33F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监制 苏曼丽</w:t>
      </w:r>
    </w:p>
    <w:p w14:paraId="221046A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策划 廖爱玲</w:t>
      </w:r>
    </w:p>
    <w:p w14:paraId="754BCC3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统筹 杨娟娟 王琳琳</w:t>
      </w:r>
    </w:p>
    <w:p w14:paraId="23D6F76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记者 王琳琳 林子 张冰 白昊天</w:t>
      </w:r>
    </w:p>
    <w:p w14:paraId="2464E45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编辑 杨娟娟</w:t>
      </w:r>
    </w:p>
    <w:p w14:paraId="36569BA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333333"/>
          <w:spacing w:val="0"/>
          <w:sz w:val="24"/>
          <w:szCs w:val="24"/>
        </w:rPr>
      </w:pPr>
      <w:r>
        <w:rPr>
          <w:rFonts w:hint="eastAsia" w:ascii="宋体" w:hAnsi="宋体" w:eastAsia="宋体" w:cs="宋体"/>
          <w:i w:val="0"/>
          <w:iCs w:val="0"/>
          <w:caps w:val="0"/>
          <w:color w:val="333333"/>
          <w:spacing w:val="0"/>
          <w:sz w:val="24"/>
          <w:szCs w:val="24"/>
          <w:shd w:val="clear" w:fill="FFFFFF"/>
        </w:rPr>
        <w:t>美编 卢子雄</w:t>
      </w:r>
    </w:p>
    <w:p w14:paraId="5915713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FFFFF"/>
        </w:rPr>
        <w:t>校对 穆祥桐</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寰蒋闆呴粦">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97906FF"/>
    <w:rsid w:val="0A08430D"/>
    <w:rsid w:val="125D07AF"/>
    <w:rsid w:val="14C47912"/>
    <w:rsid w:val="1569714A"/>
    <w:rsid w:val="1F3F2C26"/>
    <w:rsid w:val="1FE81839"/>
    <w:rsid w:val="208262C0"/>
    <w:rsid w:val="23CB1DCF"/>
    <w:rsid w:val="28BF30A6"/>
    <w:rsid w:val="2A1F09F7"/>
    <w:rsid w:val="2E3A0C42"/>
    <w:rsid w:val="2E3B52CA"/>
    <w:rsid w:val="2EC761D4"/>
    <w:rsid w:val="30D60966"/>
    <w:rsid w:val="3CE81A7C"/>
    <w:rsid w:val="3FEC0F24"/>
    <w:rsid w:val="432E715D"/>
    <w:rsid w:val="4EB04235"/>
    <w:rsid w:val="53EE4E13"/>
    <w:rsid w:val="540E7263"/>
    <w:rsid w:val="60993B99"/>
    <w:rsid w:val="62165C60"/>
    <w:rsid w:val="6BDE7FF4"/>
    <w:rsid w:val="6E615BFD"/>
    <w:rsid w:val="7AFD57B8"/>
    <w:rsid w:val="7CD460A4"/>
    <w:rsid w:val="7D8E5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6775da6d-c0a7-4c26-abf0-cbaafab72597</errorID>
      <errorWord>前言</errorWord>
      <group>L1_AI</group>
      <groupName>深度校对</groupName>
      <ability>L2_AI_Title</ability>
      <abilityName>标题检查</abilityName>
      <candidateList>
        <item>一、前言</item>
      </candidateList>
      <explain>标题顺序错误，请检查标题顺序是否合理。</explain>
      <paraID>42177FA0</paraID>
      <start>0</start>
      <end>2</end>
      <status>unmodified</status>
      <modifiedWord/>
      <trackRevisions>false</trackRevisions>
    </reviewItem>
    <reviewItem>
      <errorID>816977ea-8813-4eb0-a44d-e65e6b96a31f</errorID>
      <errorWord>:</errorWord>
      <group>L1_Format</group>
      <groupName>格式问题</groupName>
      <ability>L2_HalfPunc</ability>
      <abilityName>全半角检查</abilityName>
      <candidateList>
        <item>：</item>
      </candidateList>
      <explain>文本全半角错误。</explain>
      <paraID>6E23F388</paraID>
      <start>3</start>
      <end>4</end>
      <status>unmodified</status>
      <modifiedWord/>
      <trackRevisions>false</trackRevisions>
    </reviewItem>
    <reviewItem>
      <errorID>9b77b422-e646-40b7-afe1-18db8a518fec</errorID>
      <errorWord>⁽¹⁾</errorWord>
      <group>L1_AI</group>
      <groupName>深度校对</groupName>
      <ability>L2_AI_Punc</ability>
      <abilityName>标点纠错</abilityName>
      <candidateList>
        <item>（¹）</item>
      </candidateList>
      <explain/>
      <paraID>1FC4833E</paraID>
      <start>28</start>
      <end>31</end>
      <status>unmodified</status>
      <modifiedWord/>
      <trackRevisions>false</trackRevisions>
    </reviewItem>
    <reviewItem>
      <errorID>ba1308d9-f67f-4102-97c8-13a654f41170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1A0FE858</paraID>
      <start>111</start>
      <end>112</end>
      <status>unmodified</status>
      <modifiedWord/>
      <trackRevisions>false</trackRevisions>
    </reviewItem>
    <reviewItem>
      <errorID>3ea28899-124b-44f2-bdae-fcb859a3b86c</errorID>
      <errorWord>⁽²⁾</errorWord>
      <group>L1_AI</group>
      <groupName>深度校对</groupName>
      <ability>L2_AI_Punc</ability>
      <abilityName>标点纠错</abilityName>
      <candidateList>
        <item>（²）</item>
      </candidateList>
      <explain/>
      <paraID>1A0FE858</paraID>
      <start>127</start>
      <end>130</end>
      <status>unmodified</status>
      <modifiedWord/>
      <trackRevisions>false</trackRevisions>
    </reviewItem>
  </reviewItems>
  <config/>
</contractReview>
</file>

<file path=customXml/itemProps1.xml><?xml version="1.0" encoding="utf-8"?>
<ds:datastoreItem xmlns:ds="http://schemas.openxmlformats.org/officeDocument/2006/customXml" ds:itemID="{01cd1682-4e54-4575-bac2-7d5333c34886}">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4443</Words>
  <Characters>4592</Characters>
  <Lines>0</Lines>
  <Paragraphs>0</Paragraphs>
  <TotalTime>4</TotalTime>
  <ScaleCrop>false</ScaleCrop>
  <LinksUpToDate>false</LinksUpToDate>
  <CharactersWithSpaces>4665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2026-04-14T11:43:00Z</dcterms:created>
  <dc:creator>杨娟娟</dc:creator>
  <cp:lastModifiedBy>行千里</cp:lastModifiedBy>
  <dcterms:modified xsi:type="dcterms:W3CDTF">2026-05-09T06:01:03Z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F51004F1D114448FACE67880513BD2FA_11</vt:lpwstr>
  </property>
  <property fmtid="{D5CDD505-2E9C-101B-9397-08002B2CF9AE}" pid="4" name="KSOTemplateDocerSaveRecord">
    <vt:lpwstr>eyJoZGlkIjoiZTM1NTQ4ZTA2MWZhYTg4YTA5NTQ5Y2RmMTQzYzZlY2YiLCJ1c2VySWQiOiIxMzEwNzY0OTk4In0=</vt:lpwstr>
  </property>
</Properties>
</file>