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816E" w14:textId="5FB4926F" w:rsidR="009137B8" w:rsidRPr="009137B8" w:rsidRDefault="009137B8" w:rsidP="009137B8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附件三</w:t>
      </w:r>
    </w:p>
    <w:p w14:paraId="01995663" w14:textId="1AF872CA" w:rsidR="009137B8" w:rsidRPr="00212B49" w:rsidRDefault="009137B8" w:rsidP="009137B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212B49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《数字中国系列》人才培训活动方案</w:t>
      </w:r>
    </w:p>
    <w:p w14:paraId="69253E73" w14:textId="77777777" w:rsidR="00E800D6" w:rsidRDefault="009137B8" w:rsidP="00E800D6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为深入贯彻落实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数字中国战略的重要思想，积极推进</w:t>
      </w:r>
      <w:r w:rsidRPr="009137B8">
        <w:rPr>
          <w:rFonts w:ascii="宋体" w:eastAsia="宋体" w:hAnsi="宋体"/>
          <w:color w:val="000000" w:themeColor="text1"/>
          <w:szCs w:val="21"/>
        </w:rPr>
        <w:t>《数字中国建设整体布局规划》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国家战略实施，</w:t>
      </w:r>
      <w:r w:rsidRPr="009137B8">
        <w:rPr>
          <w:rFonts w:ascii="宋体" w:eastAsia="宋体" w:hAnsi="宋体"/>
          <w:color w:val="000000" w:themeColor="text1"/>
          <w:szCs w:val="21"/>
        </w:rPr>
        <w:t>强化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数字中国</w:t>
      </w:r>
      <w:r w:rsidRPr="009137B8">
        <w:rPr>
          <w:rFonts w:ascii="宋体" w:eastAsia="宋体" w:hAnsi="宋体"/>
          <w:color w:val="000000" w:themeColor="text1"/>
          <w:szCs w:val="21"/>
        </w:rPr>
        <w:t>人才支撑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，中关村数字媒体产业联盟在完成编写并由中央党校出版社出版的《数字中国系列》读本基础上，将联合有关机构共同开展《数字中国系列》培训活动，具体方案如下：</w:t>
      </w:r>
    </w:p>
    <w:p w14:paraId="2C90321E" w14:textId="7F8F327A" w:rsidR="009137B8" w:rsidRPr="00E800D6" w:rsidRDefault="00E800D6" w:rsidP="00E800D6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一、</w:t>
      </w:r>
      <w:r w:rsidR="009137B8" w:rsidRPr="00E800D6">
        <w:rPr>
          <w:rFonts w:ascii="宋体" w:eastAsia="宋体" w:hAnsi="宋体" w:hint="eastAsia"/>
          <w:b/>
          <w:bCs/>
          <w:color w:val="000000" w:themeColor="text1"/>
          <w:szCs w:val="21"/>
        </w:rPr>
        <w:t>培训活动概况</w:t>
      </w:r>
    </w:p>
    <w:p w14:paraId="32DF837D" w14:textId="77777777" w:rsidR="009137B8" w:rsidRPr="009137B8" w:rsidRDefault="009137B8" w:rsidP="009137B8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主办方将邀请相关部门、有关地方政府及培训中心、行业组织、知名院校等共同组织开展培训活动。</w:t>
      </w:r>
      <w:r w:rsidRPr="009137B8">
        <w:rPr>
          <w:rFonts w:ascii="宋体" w:eastAsia="宋体" w:hAnsi="宋体"/>
          <w:color w:val="000000" w:themeColor="text1"/>
          <w:szCs w:val="21"/>
        </w:rPr>
        <w:t>旨在帮助学员了解数字中国战略的背景、内容和实施路径，掌握数字经济的基本概念、特点和趋势，熟悉数字技术的应用和创新，了解数字产业的发展和转型，掌握数字化转型的实施保障体系和方法，了解数字中国战略的国际合作框架和实践操作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43C41D0A" w14:textId="77777777" w:rsidR="009137B8" w:rsidRPr="009137B8" w:rsidRDefault="009137B8" w:rsidP="009137B8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培训活动将</w:t>
      </w:r>
      <w:r w:rsidRPr="009137B8">
        <w:rPr>
          <w:rFonts w:ascii="宋体" w:eastAsia="宋体" w:hAnsi="宋体"/>
          <w:color w:val="000000" w:themeColor="text1"/>
          <w:szCs w:val="21"/>
        </w:rPr>
        <w:t>邀请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数字经济领域</w:t>
      </w:r>
      <w:r w:rsidRPr="009137B8">
        <w:rPr>
          <w:rFonts w:ascii="宋体" w:eastAsia="宋体" w:hAnsi="宋体"/>
          <w:color w:val="000000" w:themeColor="text1"/>
          <w:szCs w:val="21"/>
        </w:rPr>
        <w:t>知名专家学者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、数字化领军</w:t>
      </w:r>
      <w:r w:rsidRPr="009137B8">
        <w:rPr>
          <w:rFonts w:ascii="宋体" w:eastAsia="宋体" w:hAnsi="宋体"/>
          <w:color w:val="000000" w:themeColor="text1"/>
          <w:szCs w:val="21"/>
        </w:rPr>
        <w:t>企业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代表</w:t>
      </w:r>
      <w:r w:rsidRPr="009137B8">
        <w:rPr>
          <w:rFonts w:ascii="宋体" w:eastAsia="宋体" w:hAnsi="宋体"/>
          <w:color w:val="000000" w:themeColor="text1"/>
          <w:szCs w:val="21"/>
        </w:rPr>
        <w:t>，将为大家带来最前沿的数字化经验和成功案例，分享数字化转型的最佳实践，探讨数字化时代下的企业和社会发展趋势。培训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内容</w:t>
      </w:r>
      <w:r w:rsidRPr="009137B8">
        <w:rPr>
          <w:rFonts w:ascii="宋体" w:eastAsia="宋体" w:hAnsi="宋体"/>
          <w:color w:val="000000" w:themeColor="text1"/>
          <w:szCs w:val="21"/>
        </w:rPr>
        <w:t>将涉及数字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中国战</w:t>
      </w:r>
      <w:r w:rsidRPr="009137B8">
        <w:rPr>
          <w:rFonts w:ascii="宋体" w:eastAsia="宋体" w:hAnsi="宋体"/>
          <w:color w:val="000000" w:themeColor="text1"/>
          <w:szCs w:val="21"/>
        </w:rPr>
        <w:t>略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宏观政策、产业发展、技术引领、投资运营、人才培养</w:t>
      </w:r>
      <w:r w:rsidRPr="009137B8">
        <w:rPr>
          <w:rFonts w:ascii="宋体" w:eastAsia="宋体" w:hAnsi="宋体"/>
          <w:color w:val="000000" w:themeColor="text1"/>
          <w:szCs w:val="21"/>
        </w:rPr>
        <w:t>等多个领域，内容丰富、实用性强。</w:t>
      </w:r>
    </w:p>
    <w:p w14:paraId="4F810A39" w14:textId="77777777" w:rsidR="00E2474A" w:rsidRDefault="009137B8" w:rsidP="00E2474A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通过参加培训活动，能够更好地掌握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数字中国建设、发展</w:t>
      </w:r>
      <w:r w:rsidRPr="009137B8">
        <w:rPr>
          <w:rFonts w:ascii="宋体" w:eastAsia="宋体" w:hAnsi="宋体"/>
          <w:color w:val="000000" w:themeColor="text1"/>
          <w:szCs w:val="21"/>
        </w:rPr>
        <w:t>数字经济的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战略趋势</w:t>
      </w:r>
      <w:r w:rsidRPr="009137B8">
        <w:rPr>
          <w:rFonts w:ascii="宋体" w:eastAsia="宋体" w:hAnsi="宋体"/>
          <w:color w:val="000000" w:themeColor="text1"/>
          <w:szCs w:val="21"/>
        </w:rPr>
        <w:t>，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把握数字产业发展机遇，</w:t>
      </w:r>
      <w:r w:rsidRPr="009137B8">
        <w:rPr>
          <w:rFonts w:ascii="宋体" w:eastAsia="宋体" w:hAnsi="宋体"/>
          <w:color w:val="000000" w:themeColor="text1"/>
          <w:szCs w:val="21"/>
        </w:rPr>
        <w:t>熟悉数字技术的应用和创新，了解数字化时代下企业和社会的发展变革，掌握数字化运营和管理的核心技能，为企业和社会的数字化转型提供有力支持。</w:t>
      </w:r>
    </w:p>
    <w:p w14:paraId="31709352" w14:textId="47748362" w:rsidR="009137B8" w:rsidRPr="00E2474A" w:rsidRDefault="00E2474A" w:rsidP="00E2474A">
      <w:pPr>
        <w:adjustRightInd w:val="0"/>
        <w:snapToGrid w:val="0"/>
        <w:spacing w:beforeLines="50" w:before="156" w:afterLines="50" w:after="156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二、</w:t>
      </w:r>
      <w:r w:rsidR="009137B8" w:rsidRPr="00E2474A">
        <w:rPr>
          <w:rFonts w:ascii="宋体" w:eastAsia="宋体" w:hAnsi="宋体" w:hint="eastAsia"/>
          <w:b/>
          <w:bCs/>
          <w:color w:val="000000" w:themeColor="text1"/>
          <w:szCs w:val="21"/>
        </w:rPr>
        <w:t>培训活动架构</w:t>
      </w:r>
    </w:p>
    <w:p w14:paraId="4E629CD7" w14:textId="07B8DF9E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课程</w:t>
      </w:r>
      <w:r w:rsidRPr="009137B8">
        <w:rPr>
          <w:rFonts w:ascii="宋体" w:eastAsia="宋体" w:hAnsi="宋体"/>
          <w:color w:val="000000" w:themeColor="text1"/>
          <w:szCs w:val="21"/>
        </w:rPr>
        <w:t>主题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：</w:t>
      </w:r>
      <w:r w:rsidR="00D31DC3">
        <w:rPr>
          <w:rFonts w:ascii="宋体" w:eastAsia="宋体" w:hAnsi="宋体" w:hint="eastAsia"/>
          <w:color w:val="000000" w:themeColor="text1"/>
          <w:szCs w:val="21"/>
        </w:rPr>
        <w:t>《</w:t>
      </w:r>
      <w:r w:rsidRPr="009137B8">
        <w:rPr>
          <w:rFonts w:ascii="宋体" w:eastAsia="宋体" w:hAnsi="宋体"/>
          <w:color w:val="000000" w:themeColor="text1"/>
          <w:szCs w:val="21"/>
        </w:rPr>
        <w:t>数字中国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系列</w:t>
      </w:r>
      <w:r w:rsidR="00D31DC3">
        <w:rPr>
          <w:rFonts w:ascii="宋体" w:eastAsia="宋体" w:hAnsi="宋体" w:hint="eastAsia"/>
          <w:color w:val="000000" w:themeColor="text1"/>
          <w:szCs w:val="21"/>
        </w:rPr>
        <w:t>》</w:t>
      </w:r>
      <w:r w:rsidR="00403907">
        <w:rPr>
          <w:rFonts w:ascii="宋体" w:eastAsia="宋体" w:hAnsi="宋体" w:hint="eastAsia"/>
          <w:color w:val="000000" w:themeColor="text1"/>
          <w:szCs w:val="21"/>
        </w:rPr>
        <w:t>；数字技术与产业</w:t>
      </w:r>
    </w:p>
    <w:p w14:paraId="3827BD32" w14:textId="77777777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培训时间：公开课拟每月1</w:t>
      </w:r>
      <w:r w:rsidRPr="009137B8">
        <w:rPr>
          <w:rFonts w:ascii="宋体" w:eastAsia="宋体" w:hAnsi="宋体"/>
          <w:color w:val="000000" w:themeColor="text1"/>
          <w:szCs w:val="21"/>
        </w:rPr>
        <w:t>-2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期；标准班及定制班，可根据需求确定培训时间。</w:t>
      </w:r>
    </w:p>
    <w:p w14:paraId="6791FFE1" w14:textId="77777777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培训地点：北京、海南、广州，以及全国合作城市</w:t>
      </w:r>
    </w:p>
    <w:p w14:paraId="671236F9" w14:textId="77777777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课时安排：公开课（3课时），特色课程（1</w:t>
      </w:r>
      <w:r w:rsidRPr="009137B8">
        <w:rPr>
          <w:rFonts w:ascii="宋体" w:eastAsia="宋体" w:hAnsi="宋体"/>
          <w:color w:val="000000" w:themeColor="text1"/>
          <w:szCs w:val="21"/>
        </w:rPr>
        <w:t>2-30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课时，标准班、定制班将根据实际情况设计课时）。</w:t>
      </w:r>
    </w:p>
    <w:p w14:paraId="40D3DF4D" w14:textId="0AE3E9E1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开班形式：公开课：1</w:t>
      </w:r>
      <w:r w:rsidRPr="009137B8">
        <w:rPr>
          <w:rFonts w:ascii="宋体" w:eastAsia="宋体" w:hAnsi="宋体"/>
          <w:color w:val="000000" w:themeColor="text1"/>
          <w:szCs w:val="21"/>
        </w:rPr>
        <w:t>50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人，学员免费；标准班：</w:t>
      </w:r>
      <w:r w:rsidRPr="009137B8">
        <w:rPr>
          <w:rFonts w:ascii="宋体" w:eastAsia="宋体" w:hAnsi="宋体"/>
          <w:color w:val="000000" w:themeColor="text1"/>
          <w:szCs w:val="21"/>
        </w:rPr>
        <w:t>50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人以上，2</w:t>
      </w:r>
      <w:r w:rsidRPr="009137B8">
        <w:rPr>
          <w:rFonts w:ascii="宋体" w:eastAsia="宋体" w:hAnsi="宋体"/>
          <w:color w:val="000000" w:themeColor="text1"/>
          <w:szCs w:val="21"/>
        </w:rPr>
        <w:t>800</w:t>
      </w:r>
      <w:r w:rsidR="00F35F99">
        <w:rPr>
          <w:rFonts w:ascii="宋体" w:eastAsia="宋体" w:hAnsi="宋体" w:hint="eastAsia"/>
          <w:color w:val="000000" w:themeColor="text1"/>
          <w:szCs w:val="21"/>
        </w:rPr>
        <w:t>元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/人，定制课程：人数及费用根据需求定制。</w:t>
      </w:r>
    </w:p>
    <w:p w14:paraId="4221E8FB" w14:textId="2332D683" w:rsidR="009137B8" w:rsidRPr="009137B8" w:rsidRDefault="009137B8" w:rsidP="009137B8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="998" w:firstLineChars="0" w:hanging="442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颁发证书：标准班及定制班学员学习结业后，可由主办方颁发培训证书。</w:t>
      </w:r>
    </w:p>
    <w:p w14:paraId="29F3B356" w14:textId="1160A6E4" w:rsidR="009137B8" w:rsidRPr="001C59D4" w:rsidRDefault="001C59D4" w:rsidP="001C59D4">
      <w:pPr>
        <w:adjustRightInd w:val="0"/>
        <w:snapToGrid w:val="0"/>
        <w:spacing w:before="50" w:after="50" w:line="360" w:lineRule="auto"/>
        <w:ind w:firstLineChars="200" w:firstLine="422"/>
        <w:rPr>
          <w:rFonts w:ascii="宋体" w:eastAsia="宋体" w:hAnsi="宋体"/>
          <w:b/>
          <w:bCs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三、</w:t>
      </w:r>
      <w:r w:rsidR="009137B8" w:rsidRPr="001C59D4">
        <w:rPr>
          <w:rFonts w:ascii="宋体" w:eastAsia="宋体" w:hAnsi="宋体" w:hint="eastAsia"/>
          <w:b/>
          <w:bCs/>
          <w:color w:val="000000" w:themeColor="text1"/>
          <w:szCs w:val="21"/>
        </w:rPr>
        <w:t>合作模式</w:t>
      </w:r>
    </w:p>
    <w:p w14:paraId="0533AF08" w14:textId="77777777" w:rsidR="009137B8" w:rsidRPr="009137B8" w:rsidRDefault="009137B8" w:rsidP="009137B8">
      <w:pPr>
        <w:pStyle w:val="a3"/>
        <w:numPr>
          <w:ilvl w:val="0"/>
          <w:numId w:val="3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主办方负责公益课程（公开课）的组织举办，拟在全国重点合作城市开展公开课与示范班。</w:t>
      </w:r>
    </w:p>
    <w:p w14:paraId="2ACE6FA5" w14:textId="77777777" w:rsidR="009137B8" w:rsidRPr="009137B8" w:rsidRDefault="009137B8" w:rsidP="009137B8">
      <w:pPr>
        <w:pStyle w:val="a3"/>
        <w:numPr>
          <w:ilvl w:val="0"/>
          <w:numId w:val="3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lastRenderedPageBreak/>
        <w:t>主办方将建立《数字中国系列》培训活动专家顾问讲师团，并邀请相关讲师、专家录制精品视频课程，并进行线上推广与传播。</w:t>
      </w:r>
    </w:p>
    <w:p w14:paraId="7A8E549D" w14:textId="77777777" w:rsidR="00DC366B" w:rsidRDefault="009137B8" w:rsidP="00DC366B">
      <w:pPr>
        <w:pStyle w:val="a3"/>
        <w:numPr>
          <w:ilvl w:val="0"/>
          <w:numId w:val="3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诚邀全国各地方相关部门及知名机构合作，以“共创、共建、共赢”的模式，共同组织举办培训活动，主办方提供师资、培训教材、宣传推广等支持，合作方负责培训落地组织与运营。</w:t>
      </w:r>
    </w:p>
    <w:p w14:paraId="720F7027" w14:textId="28C68240" w:rsidR="009137B8" w:rsidRPr="00DC366B" w:rsidRDefault="00DC366B" w:rsidP="00DC366B">
      <w:pPr>
        <w:adjustRightInd w:val="0"/>
        <w:snapToGrid w:val="0"/>
        <w:spacing w:before="50" w:after="50" w:line="360" w:lineRule="auto"/>
        <w:ind w:firstLineChars="200" w:firstLine="422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四、</w:t>
      </w:r>
      <w:r w:rsidR="009137B8" w:rsidRPr="00DC366B">
        <w:rPr>
          <w:rFonts w:ascii="宋体" w:eastAsia="宋体" w:hAnsi="宋体"/>
          <w:b/>
          <w:bCs/>
          <w:color w:val="000000" w:themeColor="text1"/>
          <w:szCs w:val="21"/>
        </w:rPr>
        <w:t>课程</w:t>
      </w:r>
      <w:r w:rsidR="009137B8" w:rsidRPr="00DC366B">
        <w:rPr>
          <w:rFonts w:ascii="宋体" w:eastAsia="宋体" w:hAnsi="宋体" w:hint="eastAsia"/>
          <w:b/>
          <w:bCs/>
          <w:color w:val="000000" w:themeColor="text1"/>
          <w:szCs w:val="21"/>
        </w:rPr>
        <w:t>模块（具体以实际课程为准）</w:t>
      </w:r>
    </w:p>
    <w:p w14:paraId="554E77BC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数字中国战略解读模块</w:t>
      </w:r>
    </w:p>
    <w:p w14:paraId="3E5452F8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数字中国战略技术创新模块</w:t>
      </w:r>
    </w:p>
    <w:p w14:paraId="43FFCE9B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数字中国战略产业融合模块</w:t>
      </w:r>
    </w:p>
    <w:p w14:paraId="47A5FA55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数字中国战略人才体系建设模块</w:t>
      </w:r>
    </w:p>
    <w:p w14:paraId="4581698B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数字中国战略产业创投模块</w:t>
      </w:r>
    </w:p>
    <w:p w14:paraId="10BACB19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数字中国战略实施保障体系模块</w:t>
      </w:r>
    </w:p>
    <w:p w14:paraId="690E2A23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数字中国战略数字化转型与数字治理</w:t>
      </w:r>
    </w:p>
    <w:p w14:paraId="5F73796C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数字中国战略国际合作模块</w:t>
      </w:r>
    </w:p>
    <w:p w14:paraId="6C0615F9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国家文化数字化战略模块</w:t>
      </w:r>
    </w:p>
    <w:p w14:paraId="4085E752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数字中国乡村振兴模块</w:t>
      </w:r>
    </w:p>
    <w:p w14:paraId="6C0803FC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数字技术产业化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模块</w:t>
      </w:r>
    </w:p>
    <w:p w14:paraId="0A8DDA87" w14:textId="77777777" w:rsidR="009137B8" w:rsidRPr="009137B8" w:rsidRDefault="009137B8" w:rsidP="009137B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902"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企业数字化转型模块</w:t>
      </w:r>
    </w:p>
    <w:p w14:paraId="0421CFF5" w14:textId="7876170C" w:rsidR="009137B8" w:rsidRPr="00DA475B" w:rsidRDefault="007A23BE" w:rsidP="00DA475B">
      <w:pPr>
        <w:adjustRightInd w:val="0"/>
        <w:snapToGrid w:val="0"/>
        <w:spacing w:before="50" w:after="50" w:line="360" w:lineRule="auto"/>
        <w:ind w:firstLineChars="200" w:firstLine="422"/>
        <w:rPr>
          <w:rFonts w:ascii="宋体" w:eastAsia="宋体" w:hAnsi="宋体"/>
          <w:b/>
          <w:bCs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五</w:t>
      </w:r>
      <w:r w:rsidR="00DA475B">
        <w:rPr>
          <w:rFonts w:ascii="宋体" w:eastAsia="宋体" w:hAnsi="宋体" w:hint="eastAsia"/>
          <w:b/>
          <w:bCs/>
          <w:color w:val="000000" w:themeColor="text1"/>
          <w:szCs w:val="21"/>
        </w:rPr>
        <w:t>、</w:t>
      </w:r>
      <w:r w:rsidR="009137B8" w:rsidRPr="00DA475B">
        <w:rPr>
          <w:rFonts w:ascii="宋体" w:eastAsia="宋体" w:hAnsi="宋体" w:hint="eastAsia"/>
          <w:b/>
          <w:bCs/>
          <w:color w:val="000000" w:themeColor="text1"/>
          <w:szCs w:val="21"/>
        </w:rPr>
        <w:t>特色教材</w:t>
      </w:r>
    </w:p>
    <w:p w14:paraId="203390E5" w14:textId="77777777" w:rsidR="009137B8" w:rsidRPr="009137B8" w:rsidRDefault="009137B8" w:rsidP="009137B8">
      <w:pPr>
        <w:shd w:val="clear" w:color="auto" w:fill="FFFFFF"/>
        <w:adjustRightInd w:val="0"/>
        <w:snapToGrid w:val="0"/>
        <w:spacing w:beforeLines="50" w:before="156" w:afterLines="50" w:after="156" w:line="360" w:lineRule="auto"/>
        <w:ind w:firstLine="482"/>
        <w:jc w:val="left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近年来，中关村数字媒体产业联盟智库组织了一批数字经济领域知名专家、学者及行业领先实践者，精心编写并完成了由中央党校出版社出版的《数字中国系列》读本，系列读本涵盖数字中国建设、“十四五”数字化国家战略、数字化建设与发展、区块链、元宇宙、人工智能、新基建、以及典型案例等内容。通过以系列读本为基础内容的系列培训活动，为各部委、地方政府、相关企业，党员及领导干部提供系统化了解、学习数字中国国家战略，掌握数字化转型升级与数字产业发展与建设模式，积极推动数字经济高质量发展，建设数字中国。</w:t>
      </w:r>
    </w:p>
    <w:p w14:paraId="754A5F14" w14:textId="77777777" w:rsidR="009137B8" w:rsidRPr="009137B8" w:rsidRDefault="009137B8" w:rsidP="009137B8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noProof/>
          <w:color w:val="000000" w:themeColor="text1"/>
          <w:szCs w:val="21"/>
        </w:rPr>
        <w:drawing>
          <wp:inline distT="0" distB="0" distL="0" distR="0" wp14:anchorId="740D4D32" wp14:editId="3D576024">
            <wp:extent cx="5274310" cy="1587272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83D1" w14:textId="77777777" w:rsidR="009137B8" w:rsidRPr="009137B8" w:rsidRDefault="009137B8" w:rsidP="009137B8">
      <w:pPr>
        <w:adjustRightInd w:val="0"/>
        <w:snapToGrid w:val="0"/>
        <w:spacing w:before="50" w:after="50" w:line="360" w:lineRule="auto"/>
        <w:rPr>
          <w:rFonts w:ascii="宋体" w:eastAsia="宋体" w:hAnsi="宋体"/>
          <w:color w:val="000000" w:themeColor="text1"/>
          <w:szCs w:val="21"/>
        </w:rPr>
      </w:pPr>
    </w:p>
    <w:p w14:paraId="3083C504" w14:textId="77777777" w:rsidR="009137B8" w:rsidRPr="009137B8" w:rsidRDefault="009137B8" w:rsidP="009137B8">
      <w:pPr>
        <w:pStyle w:val="a3"/>
        <w:numPr>
          <w:ilvl w:val="0"/>
          <w:numId w:val="5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《数字中国：数字化建设与发展》(中央党校出版社，2021年9月出版)</w:t>
      </w:r>
    </w:p>
    <w:p w14:paraId="4A29E6FF" w14:textId="77777777" w:rsidR="009137B8" w:rsidRPr="009137B8" w:rsidRDefault="009137B8" w:rsidP="009137B8">
      <w:pPr>
        <w:pStyle w:val="a3"/>
        <w:numPr>
          <w:ilvl w:val="0"/>
          <w:numId w:val="5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《数字中国：元宇宙建设与发展》(中央党校出版社,202</w:t>
      </w:r>
      <w:r w:rsidRPr="009137B8">
        <w:rPr>
          <w:rFonts w:ascii="宋体" w:eastAsia="宋体" w:hAnsi="宋体"/>
          <w:color w:val="000000" w:themeColor="text1"/>
          <w:szCs w:val="21"/>
        </w:rPr>
        <w:t>3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年5月出版)</w:t>
      </w:r>
    </w:p>
    <w:p w14:paraId="448F957C" w14:textId="77777777" w:rsidR="009137B8" w:rsidRPr="009137B8" w:rsidRDefault="009137B8" w:rsidP="009137B8">
      <w:pPr>
        <w:pStyle w:val="a3"/>
        <w:numPr>
          <w:ilvl w:val="0"/>
          <w:numId w:val="5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《新基建：党政干部学习读本》(中央党校出版社，2020年9月出版)</w:t>
      </w:r>
    </w:p>
    <w:p w14:paraId="53668F83" w14:textId="77777777" w:rsidR="009137B8" w:rsidRPr="009137B8" w:rsidRDefault="009137B8" w:rsidP="009137B8">
      <w:pPr>
        <w:pStyle w:val="a3"/>
        <w:numPr>
          <w:ilvl w:val="0"/>
          <w:numId w:val="5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《区块链+党政干部学习读本》(中央党校出版社,2020年5月出版)</w:t>
      </w:r>
    </w:p>
    <w:p w14:paraId="209C69C9" w14:textId="77777777" w:rsidR="009137B8" w:rsidRPr="009137B8" w:rsidRDefault="009137B8" w:rsidP="009137B8">
      <w:pPr>
        <w:pStyle w:val="a3"/>
        <w:numPr>
          <w:ilvl w:val="0"/>
          <w:numId w:val="5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《</w:t>
      </w:r>
      <w:r w:rsidRPr="009137B8">
        <w:rPr>
          <w:rFonts w:ascii="宋体" w:eastAsia="宋体" w:hAnsi="宋体"/>
          <w:color w:val="000000" w:themeColor="text1"/>
          <w:szCs w:val="21"/>
        </w:rPr>
        <w:t>数字时代：社会信用建设与发展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》(中央党校出版社,202</w:t>
      </w:r>
      <w:r w:rsidRPr="009137B8">
        <w:rPr>
          <w:rFonts w:ascii="宋体" w:eastAsia="宋体" w:hAnsi="宋体"/>
          <w:color w:val="000000" w:themeColor="text1"/>
          <w:szCs w:val="21"/>
        </w:rPr>
        <w:t>2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年</w:t>
      </w:r>
      <w:r w:rsidRPr="009137B8">
        <w:rPr>
          <w:rFonts w:ascii="宋体" w:eastAsia="宋体" w:hAnsi="宋体"/>
          <w:color w:val="000000" w:themeColor="text1"/>
          <w:szCs w:val="21"/>
        </w:rPr>
        <w:t>3</w:t>
      </w:r>
      <w:r w:rsidRPr="009137B8">
        <w:rPr>
          <w:rFonts w:ascii="宋体" w:eastAsia="宋体" w:hAnsi="宋体" w:hint="eastAsia"/>
          <w:color w:val="000000" w:themeColor="text1"/>
          <w:szCs w:val="21"/>
        </w:rPr>
        <w:t>月出版)</w:t>
      </w:r>
    </w:p>
    <w:p w14:paraId="2B930BA7" w14:textId="5727016D" w:rsidR="009137B8" w:rsidRPr="00ED6B2D" w:rsidRDefault="00884F3B" w:rsidP="00ED6B2D">
      <w:pPr>
        <w:adjustRightInd w:val="0"/>
        <w:snapToGrid w:val="0"/>
        <w:spacing w:before="50" w:after="50" w:line="360" w:lineRule="auto"/>
        <w:ind w:firstLineChars="200" w:firstLine="422"/>
        <w:rPr>
          <w:rFonts w:ascii="宋体" w:eastAsia="宋体" w:hAnsi="宋体"/>
          <w:b/>
          <w:bCs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六</w:t>
      </w:r>
      <w:r w:rsidR="00ED6B2D">
        <w:rPr>
          <w:rFonts w:ascii="宋体" w:eastAsia="宋体" w:hAnsi="宋体" w:hint="eastAsia"/>
          <w:b/>
          <w:bCs/>
          <w:color w:val="000000" w:themeColor="text1"/>
          <w:szCs w:val="21"/>
        </w:rPr>
        <w:t>、</w:t>
      </w:r>
      <w:r w:rsidR="009137B8" w:rsidRPr="00ED6B2D">
        <w:rPr>
          <w:rFonts w:ascii="宋体" w:eastAsia="宋体" w:hAnsi="宋体" w:hint="eastAsia"/>
          <w:b/>
          <w:bCs/>
          <w:color w:val="000000" w:themeColor="text1"/>
          <w:szCs w:val="21"/>
        </w:rPr>
        <w:t>联系方式</w:t>
      </w:r>
    </w:p>
    <w:p w14:paraId="4332D205" w14:textId="77777777" w:rsidR="009137B8" w:rsidRPr="009137B8" w:rsidRDefault="009137B8" w:rsidP="009137B8">
      <w:pPr>
        <w:adjustRightInd w:val="0"/>
        <w:snapToGrid w:val="0"/>
        <w:spacing w:before="50" w:after="50"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联系电话：0</w:t>
      </w:r>
      <w:r w:rsidRPr="009137B8">
        <w:rPr>
          <w:rFonts w:ascii="宋体" w:eastAsia="宋体" w:hAnsi="宋体"/>
          <w:color w:val="000000" w:themeColor="text1"/>
          <w:szCs w:val="21"/>
        </w:rPr>
        <w:t>10-62122799</w:t>
      </w:r>
    </w:p>
    <w:p w14:paraId="0FAFE72E" w14:textId="77777777" w:rsidR="009137B8" w:rsidRPr="009137B8" w:rsidRDefault="009137B8" w:rsidP="009137B8">
      <w:pPr>
        <w:widowControl/>
        <w:adjustRightInd w:val="0"/>
        <w:snapToGrid w:val="0"/>
        <w:spacing w:before="50" w:after="50"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 w:hint="eastAsia"/>
          <w:color w:val="000000" w:themeColor="text1"/>
          <w:szCs w:val="21"/>
        </w:rPr>
        <w:t>联 系 人：</w:t>
      </w:r>
    </w:p>
    <w:p w14:paraId="6A448F9F" w14:textId="77777777" w:rsidR="009137B8" w:rsidRPr="009137B8" w:rsidRDefault="009137B8" w:rsidP="009137B8">
      <w:pPr>
        <w:widowControl/>
        <w:adjustRightInd w:val="0"/>
        <w:snapToGrid w:val="0"/>
        <w:spacing w:before="50" w:after="50"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孙老师 13911853913（同微信）</w:t>
      </w:r>
    </w:p>
    <w:p w14:paraId="6346C4A4" w14:textId="77777777" w:rsidR="009137B8" w:rsidRPr="009137B8" w:rsidRDefault="009137B8" w:rsidP="009137B8">
      <w:pPr>
        <w:widowControl/>
        <w:adjustRightInd w:val="0"/>
        <w:snapToGrid w:val="0"/>
        <w:spacing w:before="50" w:after="50"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9137B8">
        <w:rPr>
          <w:rFonts w:ascii="宋体" w:eastAsia="宋体" w:hAnsi="宋体"/>
          <w:color w:val="000000" w:themeColor="text1"/>
          <w:szCs w:val="21"/>
        </w:rPr>
        <w:t>李老师 18600336988（同微信）</w:t>
      </w:r>
    </w:p>
    <w:p w14:paraId="1E877996" w14:textId="0E448BC5" w:rsidR="00223C1E" w:rsidRPr="009137B8" w:rsidRDefault="00223C1E" w:rsidP="009137B8">
      <w:pPr>
        <w:widowControl/>
        <w:adjustRightInd w:val="0"/>
        <w:snapToGrid w:val="0"/>
        <w:spacing w:before="50" w:after="50"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sectPr w:rsidR="00223C1E" w:rsidRPr="0091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C227" w14:textId="77777777" w:rsidR="006C673D" w:rsidRDefault="006C673D" w:rsidP="00D31DC3">
      <w:r>
        <w:separator/>
      </w:r>
    </w:p>
  </w:endnote>
  <w:endnote w:type="continuationSeparator" w:id="0">
    <w:p w14:paraId="4CA9D3EF" w14:textId="77777777" w:rsidR="006C673D" w:rsidRDefault="006C673D" w:rsidP="00D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D2F7" w14:textId="77777777" w:rsidR="006C673D" w:rsidRDefault="006C673D" w:rsidP="00D31DC3">
      <w:r>
        <w:separator/>
      </w:r>
    </w:p>
  </w:footnote>
  <w:footnote w:type="continuationSeparator" w:id="0">
    <w:p w14:paraId="2DB4EA3E" w14:textId="77777777" w:rsidR="006C673D" w:rsidRDefault="006C673D" w:rsidP="00D3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F6E"/>
    <w:multiLevelType w:val="hybridMultilevel"/>
    <w:tmpl w:val="0AE2EB78"/>
    <w:lvl w:ilvl="0" w:tplc="3ECCA55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E75C3D28">
      <w:start w:val="1"/>
      <w:numFmt w:val="decimal"/>
      <w:lvlText w:val="%2、"/>
      <w:lvlJc w:val="left"/>
      <w:pPr>
        <w:ind w:left="16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1" w15:restartNumberingAfterBreak="0">
    <w:nsid w:val="2E121DF1"/>
    <w:multiLevelType w:val="hybridMultilevel"/>
    <w:tmpl w:val="7B68B0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21104AE"/>
    <w:multiLevelType w:val="hybridMultilevel"/>
    <w:tmpl w:val="58589050"/>
    <w:lvl w:ilvl="0" w:tplc="FFFFFFFF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2" w:hanging="440"/>
      </w:pPr>
    </w:lvl>
    <w:lvl w:ilvl="2" w:tplc="FFFFFFFF" w:tentative="1">
      <w:start w:val="1"/>
      <w:numFmt w:val="lowerRoman"/>
      <w:lvlText w:val="%3."/>
      <w:lvlJc w:val="right"/>
      <w:pPr>
        <w:ind w:left="1802" w:hanging="440"/>
      </w:pPr>
    </w:lvl>
    <w:lvl w:ilvl="3" w:tplc="FFFFFFFF" w:tentative="1">
      <w:start w:val="1"/>
      <w:numFmt w:val="decimal"/>
      <w:lvlText w:val="%4."/>
      <w:lvlJc w:val="left"/>
      <w:pPr>
        <w:ind w:left="2242" w:hanging="440"/>
      </w:pPr>
    </w:lvl>
    <w:lvl w:ilvl="4" w:tplc="FFFFFFFF" w:tentative="1">
      <w:start w:val="1"/>
      <w:numFmt w:val="lowerLetter"/>
      <w:lvlText w:val="%5)"/>
      <w:lvlJc w:val="left"/>
      <w:pPr>
        <w:ind w:left="2682" w:hanging="440"/>
      </w:pPr>
    </w:lvl>
    <w:lvl w:ilvl="5" w:tplc="FFFFFFFF" w:tentative="1">
      <w:start w:val="1"/>
      <w:numFmt w:val="lowerRoman"/>
      <w:lvlText w:val="%6."/>
      <w:lvlJc w:val="right"/>
      <w:pPr>
        <w:ind w:left="3122" w:hanging="440"/>
      </w:pPr>
    </w:lvl>
    <w:lvl w:ilvl="6" w:tplc="FFFFFFFF" w:tentative="1">
      <w:start w:val="1"/>
      <w:numFmt w:val="decimal"/>
      <w:lvlText w:val="%7."/>
      <w:lvlJc w:val="left"/>
      <w:pPr>
        <w:ind w:left="3562" w:hanging="440"/>
      </w:pPr>
    </w:lvl>
    <w:lvl w:ilvl="7" w:tplc="FFFFFFFF" w:tentative="1">
      <w:start w:val="1"/>
      <w:numFmt w:val="lowerLetter"/>
      <w:lvlText w:val="%8)"/>
      <w:lvlJc w:val="left"/>
      <w:pPr>
        <w:ind w:left="4002" w:hanging="440"/>
      </w:pPr>
    </w:lvl>
    <w:lvl w:ilvl="8" w:tplc="FFFFFFFF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3" w15:restartNumberingAfterBreak="0">
    <w:nsid w:val="362311C1"/>
    <w:multiLevelType w:val="hybridMultilevel"/>
    <w:tmpl w:val="A914CD76"/>
    <w:lvl w:ilvl="0" w:tplc="44A600D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5387236E"/>
    <w:multiLevelType w:val="hybridMultilevel"/>
    <w:tmpl w:val="394200EA"/>
    <w:lvl w:ilvl="0" w:tplc="E38864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75E8A66A">
      <w:start w:val="4"/>
      <w:numFmt w:val="japaneseCounting"/>
      <w:lvlText w:val="%2、"/>
      <w:lvlJc w:val="left"/>
      <w:pPr>
        <w:ind w:left="144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5" w15:restartNumberingAfterBreak="0">
    <w:nsid w:val="73EF5A85"/>
    <w:multiLevelType w:val="hybridMultilevel"/>
    <w:tmpl w:val="2482ED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44515201">
    <w:abstractNumId w:val="0"/>
  </w:num>
  <w:num w:numId="2" w16cid:durableId="410733834">
    <w:abstractNumId w:val="2"/>
  </w:num>
  <w:num w:numId="3" w16cid:durableId="1034965435">
    <w:abstractNumId w:val="4"/>
  </w:num>
  <w:num w:numId="4" w16cid:durableId="911737252">
    <w:abstractNumId w:val="5"/>
  </w:num>
  <w:num w:numId="5" w16cid:durableId="450249827">
    <w:abstractNumId w:val="1"/>
  </w:num>
  <w:num w:numId="6" w16cid:durableId="67430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B8"/>
    <w:rsid w:val="001415F4"/>
    <w:rsid w:val="001C59D4"/>
    <w:rsid w:val="00212B49"/>
    <w:rsid w:val="00223C1E"/>
    <w:rsid w:val="00403907"/>
    <w:rsid w:val="0051000A"/>
    <w:rsid w:val="006C673D"/>
    <w:rsid w:val="007A23BE"/>
    <w:rsid w:val="00852B7A"/>
    <w:rsid w:val="00884F3B"/>
    <w:rsid w:val="008F52D6"/>
    <w:rsid w:val="009137B8"/>
    <w:rsid w:val="00D31DC3"/>
    <w:rsid w:val="00DA475B"/>
    <w:rsid w:val="00DC366B"/>
    <w:rsid w:val="00E2474A"/>
    <w:rsid w:val="00E800D6"/>
    <w:rsid w:val="00ED6B2D"/>
    <w:rsid w:val="00F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04544"/>
  <w15:chartTrackingRefBased/>
  <w15:docId w15:val="{F35A0283-669A-40ED-97AD-0C1F0BC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B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31D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1D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1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大鹏 王</cp:lastModifiedBy>
  <cp:revision>34</cp:revision>
  <cp:lastPrinted>2023-08-14T01:11:00Z</cp:lastPrinted>
  <dcterms:created xsi:type="dcterms:W3CDTF">2023-08-14T00:47:00Z</dcterms:created>
  <dcterms:modified xsi:type="dcterms:W3CDTF">2023-09-05T12:31:00Z</dcterms:modified>
</cp:coreProperties>
</file>